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E3BB" w14:textId="77777777" w:rsidR="00C875F5" w:rsidRPr="00C875F5" w:rsidRDefault="00C875F5" w:rsidP="00C875F5">
      <w:pPr>
        <w:jc w:val="center"/>
        <w:rPr>
          <w:rFonts w:ascii="Times New Roman" w:hAnsi="Times New Roman" w:cs="Times New Roman"/>
          <w:b/>
          <w:bCs/>
          <w:sz w:val="28"/>
          <w:szCs w:val="28"/>
        </w:rPr>
      </w:pPr>
      <w:r w:rsidRPr="00C875F5">
        <w:rPr>
          <w:rFonts w:ascii="Times New Roman" w:hAnsi="Times New Roman" w:cs="Times New Roman"/>
          <w:b/>
          <w:bCs/>
          <w:sz w:val="28"/>
          <w:szCs w:val="28"/>
        </w:rPr>
        <w:t>Variable Details</w:t>
      </w:r>
    </w:p>
    <w:p w14:paraId="25EC4684" w14:textId="77777777" w:rsidR="00C875F5" w:rsidRPr="00C875F5" w:rsidRDefault="00C875F5" w:rsidP="00C875F5">
      <w:pPr>
        <w:rPr>
          <w:rFonts w:ascii="Times New Roman" w:hAnsi="Times New Roman" w:cs="Times New Roman"/>
          <w:b/>
          <w:bCs/>
          <w:sz w:val="24"/>
        </w:rPr>
      </w:pPr>
      <w:r w:rsidRPr="00C875F5">
        <w:rPr>
          <w:rFonts w:ascii="Times New Roman" w:hAnsi="Times New Roman" w:cs="Times New Roman"/>
          <w:b/>
          <w:bCs/>
          <w:sz w:val="24"/>
        </w:rPr>
        <w:t>1. Overview of Variable Operationalization</w:t>
      </w:r>
    </w:p>
    <w:p w14:paraId="3A7F1A10" w14:textId="6AD76FCC" w:rsidR="00C875F5" w:rsidRDefault="00A17D2A" w:rsidP="00A17D2A">
      <w:pPr>
        <w:jc w:val="both"/>
        <w:rPr>
          <w:rFonts w:ascii="Times New Roman" w:hAnsi="Times New Roman" w:cs="Times New Roman"/>
        </w:rPr>
      </w:pPr>
      <w:r w:rsidRPr="00A17D2A">
        <w:rPr>
          <w:rFonts w:ascii="Times New Roman" w:hAnsi="Times New Roman" w:cs="Times New Roman" w:hint="eastAsia"/>
        </w:rPr>
        <w:t>This document provides detailed information on the operationalization of variables used in the study, including item composition, coding schemes, and score construction procedures. All constructs were measured using multi-item scales with a 7-point Likert format ranging from 1 (</w:t>
      </w:r>
      <w:r w:rsidRPr="00A17D2A">
        <w:rPr>
          <w:rFonts w:ascii="Times New Roman" w:hAnsi="Times New Roman" w:cs="Times New Roman" w:hint="eastAsia"/>
        </w:rPr>
        <w:t>“</w:t>
      </w:r>
      <w:r w:rsidRPr="00A17D2A">
        <w:rPr>
          <w:rFonts w:ascii="Times New Roman" w:hAnsi="Times New Roman" w:cs="Times New Roman" w:hint="eastAsia"/>
        </w:rPr>
        <w:t>Strongly Disagree</w:t>
      </w:r>
      <w:r w:rsidRPr="00A17D2A">
        <w:rPr>
          <w:rFonts w:ascii="Times New Roman" w:hAnsi="Times New Roman" w:cs="Times New Roman" w:hint="eastAsia"/>
        </w:rPr>
        <w:t>”</w:t>
      </w:r>
      <w:r w:rsidRPr="00A17D2A">
        <w:rPr>
          <w:rFonts w:ascii="Times New Roman" w:hAnsi="Times New Roman" w:cs="Times New Roman" w:hint="eastAsia"/>
        </w:rPr>
        <w:t>) to 7 (</w:t>
      </w:r>
      <w:r w:rsidRPr="00A17D2A">
        <w:rPr>
          <w:rFonts w:ascii="Times New Roman" w:hAnsi="Times New Roman" w:cs="Times New Roman" w:hint="eastAsia"/>
        </w:rPr>
        <w:t>“</w:t>
      </w:r>
      <w:r w:rsidRPr="00A17D2A">
        <w:rPr>
          <w:rFonts w:ascii="Times New Roman" w:hAnsi="Times New Roman" w:cs="Times New Roman" w:hint="eastAsia"/>
        </w:rPr>
        <w:t>Strongly Agree</w:t>
      </w:r>
      <w:r w:rsidRPr="00A17D2A">
        <w:rPr>
          <w:rFonts w:ascii="Times New Roman" w:hAnsi="Times New Roman" w:cs="Times New Roman" w:hint="eastAsia"/>
        </w:rPr>
        <w:t>”</w:t>
      </w:r>
      <w:r w:rsidRPr="00A17D2A">
        <w:rPr>
          <w:rFonts w:ascii="Times New Roman" w:hAnsi="Times New Roman" w:cs="Times New Roman" w:hint="eastAsia"/>
        </w:rPr>
        <w:t>). Higher values indicate stronger agreement with the construct being measured.</w:t>
      </w:r>
      <w:r>
        <w:rPr>
          <w:rFonts w:ascii="Times New Roman" w:hAnsi="Times New Roman" w:cs="Times New Roman" w:hint="eastAsia"/>
        </w:rPr>
        <w:t xml:space="preserve"> </w:t>
      </w:r>
      <w:r w:rsidRPr="00A17D2A">
        <w:rPr>
          <w:rFonts w:ascii="Times New Roman" w:hAnsi="Times New Roman" w:cs="Times New Roman" w:hint="eastAsia"/>
        </w:rPr>
        <w:t>All constructs were modeled as reflective latent variables in the structural equation model.</w:t>
      </w:r>
    </w:p>
    <w:p w14:paraId="00A2B461" w14:textId="77777777" w:rsidR="00A17D2A" w:rsidRPr="00C875F5" w:rsidRDefault="00A17D2A" w:rsidP="00A17D2A">
      <w:pPr>
        <w:rPr>
          <w:rFonts w:ascii="Times New Roman" w:hAnsi="Times New Roman" w:cs="Times New Roman"/>
        </w:rPr>
      </w:pPr>
    </w:p>
    <w:p w14:paraId="3917A178" w14:textId="18E838B5" w:rsidR="00C875F5" w:rsidRPr="00C875F5" w:rsidRDefault="00C875F5" w:rsidP="00C875F5">
      <w:pPr>
        <w:rPr>
          <w:rFonts w:ascii="Times New Roman" w:hAnsi="Times New Roman" w:cs="Times New Roman"/>
          <w:b/>
          <w:bCs/>
          <w:sz w:val="24"/>
        </w:rPr>
      </w:pPr>
      <w:r w:rsidRPr="00C875F5">
        <w:rPr>
          <w:rFonts w:ascii="Times New Roman" w:hAnsi="Times New Roman" w:cs="Times New Roman"/>
          <w:b/>
          <w:bCs/>
          <w:sz w:val="24"/>
        </w:rPr>
        <w:t xml:space="preserve">2. </w:t>
      </w:r>
      <w:r w:rsidR="00A17D2A" w:rsidRPr="00A17D2A">
        <w:rPr>
          <w:rFonts w:ascii="Times New Roman" w:hAnsi="Times New Roman" w:cs="Times New Roman" w:hint="eastAsia"/>
          <w:b/>
          <w:bCs/>
          <w:sz w:val="24"/>
        </w:rPr>
        <w:t>Independent Variables: AI Digital Human Advisor Design Cues</w:t>
      </w:r>
    </w:p>
    <w:p w14:paraId="0E913FD5" w14:textId="77777777" w:rsidR="00A17D2A" w:rsidRDefault="00A17D2A" w:rsidP="00A17D2A">
      <w:pPr>
        <w:jc w:val="both"/>
        <w:rPr>
          <w:rFonts w:ascii="Times New Roman" w:hAnsi="Times New Roman" w:cs="Times New Roman"/>
        </w:rPr>
      </w:pPr>
      <w:r w:rsidRPr="00A17D2A">
        <w:rPr>
          <w:rFonts w:ascii="Times New Roman" w:hAnsi="Times New Roman" w:cs="Times New Roman" w:hint="eastAsia"/>
        </w:rPr>
        <w:t>Three categories of design cues of AI Digital Human Advisors were measured as first-order constructs, capturing different dimensions of socially expressive system features.</w:t>
      </w:r>
      <w:r w:rsidRPr="00A17D2A">
        <w:rPr>
          <w:rFonts w:ascii="Times New Roman" w:hAnsi="Times New Roman" w:cs="Times New Roman"/>
        </w:rPr>
        <w:t xml:space="preserve"> </w:t>
      </w:r>
    </w:p>
    <w:p w14:paraId="6AC6FB9C" w14:textId="16062A71" w:rsidR="00C875F5" w:rsidRPr="00C875F5" w:rsidRDefault="00C875F5" w:rsidP="00C875F5">
      <w:pPr>
        <w:rPr>
          <w:rFonts w:ascii="Times New Roman" w:hAnsi="Times New Roman" w:cs="Times New Roman"/>
          <w:i/>
          <w:iCs/>
          <w:sz w:val="24"/>
        </w:rPr>
      </w:pPr>
      <w:r w:rsidRPr="00C875F5">
        <w:rPr>
          <w:rFonts w:ascii="Times New Roman" w:hAnsi="Times New Roman" w:cs="Times New Roman"/>
          <w:i/>
          <w:iCs/>
          <w:sz w:val="24"/>
        </w:rPr>
        <w:t xml:space="preserve">2.1 </w:t>
      </w:r>
      <w:r w:rsidR="00A17D2A" w:rsidRPr="00A17D2A">
        <w:rPr>
          <w:rFonts w:ascii="Times New Roman" w:hAnsi="Times New Roman" w:cs="Times New Roman" w:hint="eastAsia"/>
          <w:i/>
          <w:iCs/>
          <w:sz w:val="24"/>
        </w:rPr>
        <w:t>Form Cues</w:t>
      </w:r>
    </w:p>
    <w:p w14:paraId="29604BDE" w14:textId="1D2765DB" w:rsidR="00A17D2A" w:rsidRPr="00A17D2A" w:rsidRDefault="00A17D2A" w:rsidP="00A17D2A">
      <w:pPr>
        <w:jc w:val="both"/>
        <w:rPr>
          <w:rFonts w:ascii="Times New Roman" w:hAnsi="Times New Roman" w:cs="Times New Roman"/>
        </w:rPr>
      </w:pPr>
      <w:r w:rsidRPr="00A17D2A">
        <w:rPr>
          <w:rFonts w:ascii="Times New Roman" w:hAnsi="Times New Roman" w:cs="Times New Roman" w:hint="eastAsia"/>
        </w:rPr>
        <w:t>Form cues were measured using four bipolar semantic differential items (FC1</w:t>
      </w:r>
      <w:r w:rsidRPr="00A17D2A">
        <w:rPr>
          <w:rFonts w:ascii="Times New Roman" w:hAnsi="Times New Roman" w:cs="Times New Roman" w:hint="eastAsia"/>
        </w:rPr>
        <w:t>–</w:t>
      </w:r>
      <w:r w:rsidRPr="00A17D2A">
        <w:rPr>
          <w:rFonts w:ascii="Times New Roman" w:hAnsi="Times New Roman" w:cs="Times New Roman" w:hint="eastAsia"/>
        </w:rPr>
        <w:t>FC4), capturing users</w:t>
      </w:r>
      <w:r w:rsidRPr="00A17D2A">
        <w:rPr>
          <w:rFonts w:ascii="Times New Roman" w:hAnsi="Times New Roman" w:cs="Times New Roman" w:hint="eastAsia"/>
        </w:rPr>
        <w:t>’</w:t>
      </w:r>
      <w:r w:rsidRPr="00A17D2A">
        <w:rPr>
          <w:rFonts w:ascii="Times New Roman" w:hAnsi="Times New Roman" w:cs="Times New Roman" w:hint="eastAsia"/>
        </w:rPr>
        <w:t xml:space="preserve"> perceptions of the visual and embodied characteristics of the AI Digital Human Advisor. The items assessed perceived realism, human-likeness, and movement quality (e.g., fake</w:t>
      </w:r>
      <w:r w:rsidRPr="00A17D2A">
        <w:rPr>
          <w:rFonts w:ascii="Times New Roman" w:hAnsi="Times New Roman" w:cs="Times New Roman" w:hint="eastAsia"/>
        </w:rPr>
        <w:t>–</w:t>
      </w:r>
      <w:r w:rsidRPr="00A17D2A">
        <w:rPr>
          <w:rFonts w:ascii="Times New Roman" w:hAnsi="Times New Roman" w:cs="Times New Roman" w:hint="eastAsia"/>
        </w:rPr>
        <w:t>natural, machinelike</w:t>
      </w:r>
      <w:r w:rsidRPr="00A17D2A">
        <w:rPr>
          <w:rFonts w:ascii="Times New Roman" w:hAnsi="Times New Roman" w:cs="Times New Roman" w:hint="eastAsia"/>
        </w:rPr>
        <w:t>–</w:t>
      </w:r>
      <w:r w:rsidRPr="00A17D2A">
        <w:rPr>
          <w:rFonts w:ascii="Times New Roman" w:hAnsi="Times New Roman" w:cs="Times New Roman" w:hint="eastAsia"/>
        </w:rPr>
        <w:t>humanlike).</w:t>
      </w:r>
      <w:r>
        <w:rPr>
          <w:rFonts w:ascii="Times New Roman" w:hAnsi="Times New Roman" w:cs="Times New Roman" w:hint="eastAsia"/>
        </w:rPr>
        <w:t xml:space="preserve"> </w:t>
      </w:r>
      <w:r w:rsidRPr="00A17D2A">
        <w:rPr>
          <w:rFonts w:ascii="Times New Roman" w:hAnsi="Times New Roman" w:cs="Times New Roman" w:hint="eastAsia"/>
        </w:rPr>
        <w:t>All items were coded such that higher values indicate more humanlike, natural, and visually refined representations. No reverse coding was required.</w:t>
      </w:r>
      <w:r w:rsidRPr="00A17D2A">
        <w:rPr>
          <w:rFonts w:ascii="Times New Roman" w:hAnsi="Times New Roman" w:cs="Times New Roman"/>
          <w:i/>
          <w:iCs/>
          <w:sz w:val="24"/>
        </w:rPr>
        <w:t xml:space="preserve"> </w:t>
      </w:r>
    </w:p>
    <w:p w14:paraId="5DD0D155" w14:textId="0A76016B" w:rsidR="00C875F5" w:rsidRPr="00C875F5" w:rsidRDefault="00C875F5" w:rsidP="00A17D2A">
      <w:pPr>
        <w:rPr>
          <w:rFonts w:ascii="Times New Roman" w:hAnsi="Times New Roman" w:cs="Times New Roman"/>
          <w:i/>
          <w:iCs/>
          <w:sz w:val="24"/>
        </w:rPr>
      </w:pPr>
      <w:r w:rsidRPr="00C875F5">
        <w:rPr>
          <w:rFonts w:ascii="Times New Roman" w:hAnsi="Times New Roman" w:cs="Times New Roman"/>
          <w:i/>
          <w:iCs/>
          <w:sz w:val="24"/>
        </w:rPr>
        <w:t xml:space="preserve">2.2 </w:t>
      </w:r>
      <w:r w:rsidR="00A17D2A" w:rsidRPr="00A17D2A">
        <w:rPr>
          <w:rFonts w:ascii="Times New Roman" w:hAnsi="Times New Roman" w:cs="Times New Roman"/>
          <w:i/>
          <w:iCs/>
          <w:sz w:val="24"/>
        </w:rPr>
        <w:t>Behavioral Cues</w:t>
      </w:r>
    </w:p>
    <w:p w14:paraId="1526A954" w14:textId="5D49BBA2" w:rsidR="00A17D2A" w:rsidRPr="00A17D2A" w:rsidRDefault="00A17D2A" w:rsidP="00A17D2A">
      <w:pPr>
        <w:jc w:val="both"/>
        <w:rPr>
          <w:rFonts w:ascii="Times New Roman" w:hAnsi="Times New Roman" w:cs="Times New Roman"/>
        </w:rPr>
      </w:pPr>
      <w:r w:rsidRPr="00A17D2A">
        <w:rPr>
          <w:rFonts w:ascii="Times New Roman" w:hAnsi="Times New Roman" w:cs="Times New Roman"/>
        </w:rPr>
        <w:t>Behavioral cues were measured using three bipolar semantic differential items (BC1–BC3), reflecting users’ perceptions of the AI Digital Human Advisor’s movement style and response patterns. The items captured distinctions between mechanical versus biological movement, rigid versus fluid behavior, and programmed versus naturally responsive actions.</w:t>
      </w:r>
      <w:r>
        <w:rPr>
          <w:rFonts w:ascii="Times New Roman" w:hAnsi="Times New Roman" w:cs="Times New Roman" w:hint="eastAsia"/>
        </w:rPr>
        <w:t xml:space="preserve"> </w:t>
      </w:r>
      <w:r w:rsidRPr="00A17D2A">
        <w:rPr>
          <w:rFonts w:ascii="Times New Roman" w:hAnsi="Times New Roman" w:cs="Times New Roman"/>
        </w:rPr>
        <w:t>All items were positively oriented after scale direction alignment, with higher scores indicating more natural, adaptive, and humanlike behavioral expressions. No additional transformations were applied.</w:t>
      </w:r>
    </w:p>
    <w:p w14:paraId="05BED011" w14:textId="411491BE" w:rsidR="00C875F5" w:rsidRPr="00C875F5" w:rsidRDefault="00C875F5" w:rsidP="00A17D2A">
      <w:pPr>
        <w:rPr>
          <w:rFonts w:ascii="Times New Roman" w:hAnsi="Times New Roman" w:cs="Times New Roman"/>
          <w:i/>
          <w:iCs/>
          <w:sz w:val="24"/>
        </w:rPr>
      </w:pPr>
      <w:r w:rsidRPr="00C875F5">
        <w:rPr>
          <w:rFonts w:ascii="Times New Roman" w:hAnsi="Times New Roman" w:cs="Times New Roman"/>
          <w:i/>
          <w:iCs/>
          <w:sz w:val="24"/>
        </w:rPr>
        <w:t xml:space="preserve">2.3 </w:t>
      </w:r>
      <w:r w:rsidR="00A17D2A" w:rsidRPr="00A17D2A">
        <w:rPr>
          <w:rFonts w:ascii="Times New Roman" w:hAnsi="Times New Roman" w:cs="Times New Roman"/>
          <w:i/>
          <w:iCs/>
          <w:sz w:val="24"/>
        </w:rPr>
        <w:t>Interaction Cues</w:t>
      </w:r>
    </w:p>
    <w:p w14:paraId="0C7F0A0B" w14:textId="2EC6BA6C" w:rsidR="00A17D2A" w:rsidRPr="00A17D2A" w:rsidRDefault="00A17D2A" w:rsidP="00A17D2A">
      <w:pPr>
        <w:jc w:val="both"/>
        <w:rPr>
          <w:rFonts w:ascii="Times New Roman" w:hAnsi="Times New Roman" w:cs="Times New Roman"/>
        </w:rPr>
      </w:pPr>
      <w:r w:rsidRPr="00A17D2A">
        <w:rPr>
          <w:rFonts w:ascii="Times New Roman" w:hAnsi="Times New Roman" w:cs="Times New Roman"/>
        </w:rPr>
        <w:t>Interaction cues were measured using six items (IC1–IC6), capturing users’ perceptions of responsiveness, bidirectionality, controllability, and interaction fluency during engagement with the AI Digital Human Advisor.</w:t>
      </w:r>
      <w:r>
        <w:rPr>
          <w:rFonts w:ascii="Times New Roman" w:hAnsi="Times New Roman" w:cs="Times New Roman" w:hint="eastAsia"/>
        </w:rPr>
        <w:t xml:space="preserve"> </w:t>
      </w:r>
      <w:r w:rsidRPr="00A17D2A">
        <w:rPr>
          <w:rFonts w:ascii="Times New Roman" w:hAnsi="Times New Roman" w:cs="Times New Roman"/>
        </w:rPr>
        <w:t>All items were positively worded and directly used in analysis. Higher scores indicate more responsive, interactive, and smoothly flowing interaction experiences. No reverse-coded items were included.</w:t>
      </w:r>
    </w:p>
    <w:p w14:paraId="771FE5A9" w14:textId="6A426439" w:rsidR="00C875F5" w:rsidRPr="00C875F5" w:rsidRDefault="00C875F5" w:rsidP="00C875F5">
      <w:pPr>
        <w:rPr>
          <w:rFonts w:ascii="Times New Roman" w:hAnsi="Times New Roman" w:cs="Times New Roman"/>
        </w:rPr>
      </w:pPr>
    </w:p>
    <w:p w14:paraId="1DBA7A1C" w14:textId="2ECCD081" w:rsidR="00C875F5" w:rsidRDefault="00C875F5" w:rsidP="00A17D2A">
      <w:pPr>
        <w:rPr>
          <w:rFonts w:ascii="Times New Roman" w:hAnsi="Times New Roman" w:cs="Times New Roman"/>
          <w:b/>
          <w:bCs/>
          <w:sz w:val="24"/>
        </w:rPr>
      </w:pPr>
      <w:r w:rsidRPr="00C875F5">
        <w:rPr>
          <w:rFonts w:ascii="Times New Roman" w:hAnsi="Times New Roman" w:cs="Times New Roman"/>
          <w:b/>
          <w:bCs/>
          <w:sz w:val="24"/>
        </w:rPr>
        <w:lastRenderedPageBreak/>
        <w:t xml:space="preserve">3. </w:t>
      </w:r>
      <w:r w:rsidR="00A17D2A" w:rsidRPr="00A17D2A">
        <w:rPr>
          <w:rFonts w:ascii="Times New Roman" w:hAnsi="Times New Roman" w:cs="Times New Roman"/>
          <w:b/>
          <w:bCs/>
          <w:sz w:val="24"/>
        </w:rPr>
        <w:t>Mediating Variables: Presence-Based Experience</w:t>
      </w:r>
    </w:p>
    <w:p w14:paraId="70E2D2BC" w14:textId="732C4027" w:rsidR="00A17D2A" w:rsidRPr="00A17D2A" w:rsidRDefault="00A17D2A" w:rsidP="00A17D2A">
      <w:pPr>
        <w:jc w:val="both"/>
        <w:rPr>
          <w:rFonts w:ascii="Times New Roman" w:hAnsi="Times New Roman" w:cs="Times New Roman"/>
          <w:sz w:val="24"/>
        </w:rPr>
      </w:pPr>
      <w:r w:rsidRPr="00A17D2A">
        <w:rPr>
          <w:rFonts w:ascii="Times New Roman" w:hAnsi="Times New Roman" w:cs="Times New Roman"/>
          <w:sz w:val="24"/>
        </w:rPr>
        <w:t>Two presence-related constructs were modeled as mediating variables, reflecting users’ experiential responses during interaction.</w:t>
      </w:r>
    </w:p>
    <w:p w14:paraId="784AD45F" w14:textId="4C9329AB" w:rsidR="00A17D2A" w:rsidRPr="00C875F5" w:rsidRDefault="00A17D2A" w:rsidP="00A17D2A">
      <w:pPr>
        <w:rPr>
          <w:rFonts w:ascii="Times New Roman" w:hAnsi="Times New Roman" w:cs="Times New Roman"/>
          <w:i/>
          <w:iCs/>
          <w:sz w:val="24"/>
        </w:rPr>
      </w:pPr>
      <w:r>
        <w:rPr>
          <w:rFonts w:ascii="Times New Roman" w:hAnsi="Times New Roman" w:cs="Times New Roman" w:hint="eastAsia"/>
          <w:i/>
          <w:iCs/>
          <w:sz w:val="24"/>
        </w:rPr>
        <w:t>3</w:t>
      </w:r>
      <w:r w:rsidRPr="00C875F5">
        <w:rPr>
          <w:rFonts w:ascii="Times New Roman" w:hAnsi="Times New Roman" w:cs="Times New Roman"/>
          <w:i/>
          <w:iCs/>
          <w:sz w:val="24"/>
        </w:rPr>
        <w:t>.</w:t>
      </w:r>
      <w:r>
        <w:rPr>
          <w:rFonts w:ascii="Times New Roman" w:hAnsi="Times New Roman" w:cs="Times New Roman" w:hint="eastAsia"/>
          <w:i/>
          <w:iCs/>
          <w:sz w:val="24"/>
        </w:rPr>
        <w:t>1</w:t>
      </w:r>
      <w:r w:rsidRPr="00C875F5">
        <w:rPr>
          <w:rFonts w:ascii="Times New Roman" w:hAnsi="Times New Roman" w:cs="Times New Roman"/>
          <w:i/>
          <w:iCs/>
          <w:sz w:val="24"/>
        </w:rPr>
        <w:t xml:space="preserve"> </w:t>
      </w:r>
      <w:r w:rsidRPr="00A17D2A">
        <w:rPr>
          <w:rFonts w:ascii="Times New Roman" w:hAnsi="Times New Roman" w:cs="Times New Roman"/>
          <w:i/>
          <w:iCs/>
          <w:sz w:val="24"/>
        </w:rPr>
        <w:t>Social Presence</w:t>
      </w:r>
    </w:p>
    <w:p w14:paraId="7DCA32C5" w14:textId="6FA79A39" w:rsidR="00A17D2A" w:rsidRPr="00A17D2A" w:rsidRDefault="00A17D2A" w:rsidP="00A17D2A">
      <w:pPr>
        <w:jc w:val="both"/>
        <w:rPr>
          <w:rFonts w:ascii="Times New Roman" w:hAnsi="Times New Roman" w:cs="Times New Roman"/>
        </w:rPr>
      </w:pPr>
      <w:r w:rsidRPr="00A17D2A">
        <w:rPr>
          <w:rFonts w:ascii="Times New Roman" w:hAnsi="Times New Roman" w:cs="Times New Roman"/>
        </w:rPr>
        <w:t>Social presence was measured using three items (SP1–SP3), capturing users’ perceptions of interpersonal connection, human contact, and social warmth during interaction with the AI Digital Human Advisor.</w:t>
      </w:r>
      <w:r>
        <w:rPr>
          <w:rFonts w:ascii="Times New Roman" w:hAnsi="Times New Roman" w:cs="Times New Roman" w:hint="eastAsia"/>
        </w:rPr>
        <w:t xml:space="preserve"> </w:t>
      </w:r>
      <w:r w:rsidRPr="00A17D2A">
        <w:rPr>
          <w:rFonts w:ascii="Times New Roman" w:hAnsi="Times New Roman" w:cs="Times New Roman"/>
        </w:rPr>
        <w:t>All items were positively coded, with higher scores indicating stronger perceived social presence. No reverse coding or transformation was applied.</w:t>
      </w:r>
    </w:p>
    <w:p w14:paraId="5BE901D9" w14:textId="419D0B28" w:rsidR="00A17D2A" w:rsidRPr="00C875F5" w:rsidRDefault="00A17D2A" w:rsidP="00A17D2A">
      <w:pPr>
        <w:rPr>
          <w:rFonts w:ascii="Times New Roman" w:hAnsi="Times New Roman" w:cs="Times New Roman"/>
          <w:i/>
          <w:iCs/>
          <w:sz w:val="24"/>
        </w:rPr>
      </w:pPr>
      <w:r>
        <w:rPr>
          <w:rFonts w:ascii="Times New Roman" w:hAnsi="Times New Roman" w:cs="Times New Roman" w:hint="eastAsia"/>
          <w:i/>
          <w:iCs/>
          <w:sz w:val="24"/>
        </w:rPr>
        <w:t>3</w:t>
      </w:r>
      <w:r w:rsidRPr="00C875F5">
        <w:rPr>
          <w:rFonts w:ascii="Times New Roman" w:hAnsi="Times New Roman" w:cs="Times New Roman"/>
          <w:i/>
          <w:iCs/>
          <w:sz w:val="24"/>
        </w:rPr>
        <w:t>.</w:t>
      </w:r>
      <w:r>
        <w:rPr>
          <w:rFonts w:ascii="Times New Roman" w:hAnsi="Times New Roman" w:cs="Times New Roman" w:hint="eastAsia"/>
          <w:i/>
          <w:iCs/>
          <w:sz w:val="24"/>
        </w:rPr>
        <w:t>2</w:t>
      </w:r>
      <w:r w:rsidRPr="00C875F5">
        <w:rPr>
          <w:rFonts w:ascii="Times New Roman" w:hAnsi="Times New Roman" w:cs="Times New Roman"/>
          <w:i/>
          <w:iCs/>
          <w:sz w:val="24"/>
        </w:rPr>
        <w:t xml:space="preserve"> </w:t>
      </w:r>
      <w:r w:rsidRPr="00A17D2A">
        <w:rPr>
          <w:rFonts w:ascii="Times New Roman" w:hAnsi="Times New Roman" w:cs="Times New Roman"/>
          <w:i/>
          <w:iCs/>
          <w:sz w:val="24"/>
        </w:rPr>
        <w:t>Telepresence</w:t>
      </w:r>
    </w:p>
    <w:p w14:paraId="673000BA" w14:textId="5C78B51B" w:rsidR="00A17D2A" w:rsidRPr="00A17D2A" w:rsidRDefault="00A17D2A" w:rsidP="00A17D2A">
      <w:pPr>
        <w:jc w:val="both"/>
        <w:rPr>
          <w:rFonts w:ascii="Times New Roman" w:hAnsi="Times New Roman" w:cs="Times New Roman"/>
        </w:rPr>
      </w:pPr>
      <w:r w:rsidRPr="00A17D2A">
        <w:rPr>
          <w:rFonts w:ascii="Times New Roman" w:hAnsi="Times New Roman" w:cs="Times New Roman"/>
        </w:rPr>
        <w:t>Telepresence was measured using five items (TE1–TE5), reflecting users’ immersive psychological involvement in the interaction environment. The items assessed feelings of “being there,” experiential immersion, and psychological transportation into the interaction scenario.</w:t>
      </w:r>
      <w:r>
        <w:rPr>
          <w:rFonts w:ascii="Times New Roman" w:hAnsi="Times New Roman" w:cs="Times New Roman" w:hint="eastAsia"/>
        </w:rPr>
        <w:t xml:space="preserve"> </w:t>
      </w:r>
      <w:r w:rsidRPr="00A17D2A">
        <w:rPr>
          <w:rFonts w:ascii="Times New Roman" w:hAnsi="Times New Roman" w:cs="Times New Roman"/>
        </w:rPr>
        <w:t>All items were positively worded and retained in the analysis. Higher scores indicate stronger immersive experience. No item removal or transformation was performed.</w:t>
      </w:r>
    </w:p>
    <w:p w14:paraId="390EE818" w14:textId="100BC73C" w:rsidR="00C875F5" w:rsidRPr="00C875F5" w:rsidRDefault="00C875F5" w:rsidP="00C875F5">
      <w:pPr>
        <w:rPr>
          <w:rFonts w:ascii="Times New Roman" w:hAnsi="Times New Roman" w:cs="Times New Roman"/>
        </w:rPr>
      </w:pPr>
    </w:p>
    <w:p w14:paraId="0BEAA73B" w14:textId="7E955D2E" w:rsidR="00C875F5" w:rsidRPr="00C875F5" w:rsidRDefault="00C875F5" w:rsidP="00A17D2A">
      <w:pPr>
        <w:rPr>
          <w:rFonts w:ascii="Times New Roman" w:hAnsi="Times New Roman" w:cs="Times New Roman"/>
          <w:b/>
          <w:bCs/>
          <w:sz w:val="24"/>
        </w:rPr>
      </w:pPr>
      <w:r w:rsidRPr="00C875F5">
        <w:rPr>
          <w:rFonts w:ascii="Times New Roman" w:hAnsi="Times New Roman" w:cs="Times New Roman"/>
          <w:b/>
          <w:bCs/>
          <w:sz w:val="24"/>
        </w:rPr>
        <w:t xml:space="preserve">4. </w:t>
      </w:r>
      <w:r w:rsidR="00A17D2A" w:rsidRPr="00A17D2A">
        <w:rPr>
          <w:rFonts w:ascii="Times New Roman" w:hAnsi="Times New Roman" w:cs="Times New Roman"/>
          <w:b/>
          <w:bCs/>
          <w:sz w:val="24"/>
        </w:rPr>
        <w:t>Dependent Variable</w:t>
      </w:r>
    </w:p>
    <w:p w14:paraId="3476C30C" w14:textId="77777777" w:rsidR="00A17D2A" w:rsidRDefault="00A17D2A" w:rsidP="00C875F5">
      <w:pPr>
        <w:jc w:val="both"/>
        <w:rPr>
          <w:rFonts w:ascii="Times New Roman" w:hAnsi="Times New Roman" w:cs="Times New Roman"/>
          <w:i/>
          <w:iCs/>
        </w:rPr>
      </w:pPr>
      <w:r w:rsidRPr="00A17D2A">
        <w:rPr>
          <w:rFonts w:ascii="Times New Roman" w:hAnsi="Times New Roman" w:cs="Times New Roman" w:hint="eastAsia"/>
          <w:i/>
          <w:iCs/>
        </w:rPr>
        <w:t>Brand Trust</w:t>
      </w:r>
    </w:p>
    <w:p w14:paraId="16B9E878" w14:textId="78A54B75" w:rsidR="00A17D2A" w:rsidRPr="00A17D2A" w:rsidRDefault="00A17D2A" w:rsidP="00A17D2A">
      <w:pPr>
        <w:jc w:val="both"/>
        <w:rPr>
          <w:rFonts w:ascii="Times New Roman" w:hAnsi="Times New Roman" w:cs="Times New Roman"/>
        </w:rPr>
      </w:pPr>
      <w:r w:rsidRPr="00A17D2A">
        <w:rPr>
          <w:rFonts w:ascii="Times New Roman" w:hAnsi="Times New Roman" w:cs="Times New Roman"/>
        </w:rPr>
        <w:t>Brand trust was measured using four items (BT1–BT4), capturing users’ confidence in the reliability, competence, and benevolence of the financial brand represented by the AI Digital Human Advisor.</w:t>
      </w:r>
      <w:r>
        <w:rPr>
          <w:rFonts w:ascii="Times New Roman" w:hAnsi="Times New Roman" w:cs="Times New Roman" w:hint="eastAsia"/>
        </w:rPr>
        <w:t xml:space="preserve"> </w:t>
      </w:r>
      <w:r w:rsidRPr="00A17D2A">
        <w:rPr>
          <w:rFonts w:ascii="Times New Roman" w:hAnsi="Times New Roman" w:cs="Times New Roman"/>
        </w:rPr>
        <w:t>All items were positively worded and directly used in composite score construction. Higher scores indicate stronger trust in the brand. No reverse coding was applied.</w:t>
      </w:r>
    </w:p>
    <w:p w14:paraId="1876C415" w14:textId="2EE70B2F" w:rsidR="00C875F5" w:rsidRPr="00A17D2A" w:rsidRDefault="00C875F5" w:rsidP="00C875F5">
      <w:pPr>
        <w:rPr>
          <w:rFonts w:ascii="Times New Roman" w:hAnsi="Times New Roman" w:cs="Times New Roman"/>
        </w:rPr>
      </w:pPr>
    </w:p>
    <w:p w14:paraId="1F4D193F" w14:textId="3185C78F" w:rsidR="00C875F5" w:rsidRPr="00C875F5" w:rsidRDefault="00C875F5" w:rsidP="00A17D2A">
      <w:pPr>
        <w:rPr>
          <w:rFonts w:ascii="Times New Roman" w:hAnsi="Times New Roman" w:cs="Times New Roman"/>
          <w:b/>
          <w:bCs/>
          <w:sz w:val="24"/>
        </w:rPr>
      </w:pPr>
      <w:r w:rsidRPr="00C875F5">
        <w:rPr>
          <w:rFonts w:ascii="Times New Roman" w:hAnsi="Times New Roman" w:cs="Times New Roman"/>
          <w:b/>
          <w:bCs/>
          <w:sz w:val="24"/>
        </w:rPr>
        <w:t xml:space="preserve">5. </w:t>
      </w:r>
      <w:r w:rsidR="00A17D2A" w:rsidRPr="00A17D2A">
        <w:rPr>
          <w:rFonts w:ascii="Times New Roman" w:hAnsi="Times New Roman" w:cs="Times New Roman"/>
          <w:b/>
          <w:bCs/>
          <w:sz w:val="24"/>
        </w:rPr>
        <w:t>Coding and Transformation Procedures</w:t>
      </w:r>
    </w:p>
    <w:p w14:paraId="6819C218" w14:textId="57514AF4" w:rsidR="00A17D2A" w:rsidRPr="00A17D2A" w:rsidRDefault="00A17D2A" w:rsidP="00A17D2A">
      <w:pPr>
        <w:jc w:val="both"/>
        <w:rPr>
          <w:rFonts w:ascii="Times New Roman" w:hAnsi="Times New Roman" w:cs="Times New Roman"/>
        </w:rPr>
      </w:pPr>
      <w:r w:rsidRPr="00A17D2A">
        <w:rPr>
          <w:rFonts w:ascii="Times New Roman" w:hAnsi="Times New Roman" w:cs="Times New Roman"/>
        </w:rPr>
        <w:t>All measurement items were aligned so that higher scores consistently reflected higher levels of the corresponding construct. No negatively worded items were included in the final measurement model; therefore, reverse coding was not required.</w:t>
      </w:r>
      <w:r w:rsidRPr="00A17D2A">
        <w:rPr>
          <w:rFonts w:ascii="Times New Roman" w:hAnsi="Times New Roman" w:cs="Times New Roman" w:hint="eastAsia"/>
        </w:rPr>
        <w:t xml:space="preserve"> </w:t>
      </w:r>
      <w:r w:rsidRPr="00A17D2A">
        <w:rPr>
          <w:rFonts w:ascii="Times New Roman" w:hAnsi="Times New Roman" w:cs="Times New Roman"/>
        </w:rPr>
        <w:t>No logarithmic transformation, standardization, or mean-centering procedures were applied to individual item scores. Composite construct scores were calculated by averaging the corresponding item scores for descriptive analysis, while latent variable modeling was conducted using structural equation modeling.</w:t>
      </w:r>
    </w:p>
    <w:p w14:paraId="4C77560D" w14:textId="70A4E15D" w:rsidR="00C875F5" w:rsidRPr="00A17D2A" w:rsidRDefault="00C875F5" w:rsidP="00C875F5">
      <w:pPr>
        <w:rPr>
          <w:rFonts w:ascii="Times New Roman" w:hAnsi="Times New Roman" w:cs="Times New Roman"/>
        </w:rPr>
      </w:pPr>
    </w:p>
    <w:p w14:paraId="192D0864" w14:textId="75FBDD9C" w:rsidR="00C875F5" w:rsidRPr="00C875F5" w:rsidRDefault="00C875F5" w:rsidP="00A17D2A">
      <w:pPr>
        <w:rPr>
          <w:rFonts w:ascii="Times New Roman" w:hAnsi="Times New Roman" w:cs="Times New Roman"/>
          <w:b/>
          <w:bCs/>
          <w:sz w:val="24"/>
        </w:rPr>
      </w:pPr>
      <w:r w:rsidRPr="00C875F5">
        <w:rPr>
          <w:rFonts w:ascii="Times New Roman" w:hAnsi="Times New Roman" w:cs="Times New Roman"/>
          <w:b/>
          <w:bCs/>
          <w:sz w:val="24"/>
        </w:rPr>
        <w:t xml:space="preserve">6. </w:t>
      </w:r>
      <w:r w:rsidR="00A17D2A" w:rsidRPr="00A17D2A">
        <w:rPr>
          <w:rFonts w:ascii="Times New Roman" w:hAnsi="Times New Roman" w:cs="Times New Roman"/>
          <w:b/>
          <w:bCs/>
          <w:sz w:val="24"/>
        </w:rPr>
        <w:t>Consistency with Measurement Model</w:t>
      </w:r>
    </w:p>
    <w:p w14:paraId="0E74291C" w14:textId="300BD121" w:rsidR="00C875F5" w:rsidRDefault="00A17D2A" w:rsidP="00A17D2A">
      <w:pPr>
        <w:jc w:val="both"/>
        <w:rPr>
          <w:rFonts w:ascii="Times New Roman" w:hAnsi="Times New Roman" w:cs="Times New Roman"/>
        </w:rPr>
      </w:pPr>
      <w:r w:rsidRPr="00A17D2A">
        <w:rPr>
          <w:rFonts w:ascii="Times New Roman" w:hAnsi="Times New Roman" w:cs="Times New Roman"/>
        </w:rPr>
        <w:lastRenderedPageBreak/>
        <w:t>All measurement items used in the analysis correspond exactly to those reported in Appendix Table A1 of the manuscript. No items were removed or modified during the analysis process. All constructs demonstrated satisfactory reliability and validity as reported in the confirmatory factor analysis results.</w:t>
      </w:r>
    </w:p>
    <w:sectPr w:rsidR="00C875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FB39" w14:textId="77777777" w:rsidR="00845EBC" w:rsidRDefault="00845EBC" w:rsidP="00C875F5">
      <w:pPr>
        <w:spacing w:after="0" w:line="240" w:lineRule="auto"/>
        <w:rPr>
          <w:rFonts w:hint="eastAsia"/>
        </w:rPr>
      </w:pPr>
      <w:r>
        <w:separator/>
      </w:r>
    </w:p>
  </w:endnote>
  <w:endnote w:type="continuationSeparator" w:id="0">
    <w:p w14:paraId="59DBB830" w14:textId="77777777" w:rsidR="00845EBC" w:rsidRDefault="00845EBC" w:rsidP="00C875F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E2C7" w14:textId="77777777" w:rsidR="00845EBC" w:rsidRDefault="00845EBC" w:rsidP="00C875F5">
      <w:pPr>
        <w:spacing w:after="0" w:line="240" w:lineRule="auto"/>
        <w:rPr>
          <w:rFonts w:hint="eastAsia"/>
        </w:rPr>
      </w:pPr>
      <w:r>
        <w:separator/>
      </w:r>
    </w:p>
  </w:footnote>
  <w:footnote w:type="continuationSeparator" w:id="0">
    <w:p w14:paraId="207AF607" w14:textId="77777777" w:rsidR="00845EBC" w:rsidRDefault="00845EBC" w:rsidP="00C875F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5A2"/>
    <w:rsid w:val="00195E35"/>
    <w:rsid w:val="00321FA9"/>
    <w:rsid w:val="004954B5"/>
    <w:rsid w:val="00845EBC"/>
    <w:rsid w:val="008D1D98"/>
    <w:rsid w:val="00A17D2A"/>
    <w:rsid w:val="00AC631B"/>
    <w:rsid w:val="00B36249"/>
    <w:rsid w:val="00BB043F"/>
    <w:rsid w:val="00C875F5"/>
    <w:rsid w:val="00D575A2"/>
    <w:rsid w:val="00DD6683"/>
    <w:rsid w:val="00F6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01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575A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575A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575A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575A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575A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D575A2"/>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575A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575A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D575A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75A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575A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575A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575A2"/>
    <w:rPr>
      <w:rFonts w:cstheme="majorBidi"/>
      <w:color w:val="2F5496" w:themeColor="accent1" w:themeShade="BF"/>
      <w:sz w:val="28"/>
      <w:szCs w:val="28"/>
    </w:rPr>
  </w:style>
  <w:style w:type="character" w:customStyle="1" w:styleId="50">
    <w:name w:val="标题 5 字符"/>
    <w:basedOn w:val="a0"/>
    <w:link w:val="5"/>
    <w:uiPriority w:val="9"/>
    <w:semiHidden/>
    <w:rsid w:val="00D575A2"/>
    <w:rPr>
      <w:rFonts w:cstheme="majorBidi"/>
      <w:color w:val="2F5496" w:themeColor="accent1" w:themeShade="BF"/>
      <w:sz w:val="24"/>
    </w:rPr>
  </w:style>
  <w:style w:type="character" w:customStyle="1" w:styleId="60">
    <w:name w:val="标题 6 字符"/>
    <w:basedOn w:val="a0"/>
    <w:link w:val="6"/>
    <w:uiPriority w:val="9"/>
    <w:semiHidden/>
    <w:rsid w:val="00D575A2"/>
    <w:rPr>
      <w:rFonts w:cstheme="majorBidi"/>
      <w:b/>
      <w:bCs/>
      <w:color w:val="2F5496" w:themeColor="accent1" w:themeShade="BF"/>
    </w:rPr>
  </w:style>
  <w:style w:type="character" w:customStyle="1" w:styleId="70">
    <w:name w:val="标题 7 字符"/>
    <w:basedOn w:val="a0"/>
    <w:link w:val="7"/>
    <w:uiPriority w:val="9"/>
    <w:semiHidden/>
    <w:rsid w:val="00D575A2"/>
    <w:rPr>
      <w:rFonts w:cstheme="majorBidi"/>
      <w:b/>
      <w:bCs/>
      <w:color w:val="595959" w:themeColor="text1" w:themeTint="A6"/>
    </w:rPr>
  </w:style>
  <w:style w:type="character" w:customStyle="1" w:styleId="80">
    <w:name w:val="标题 8 字符"/>
    <w:basedOn w:val="a0"/>
    <w:link w:val="8"/>
    <w:uiPriority w:val="9"/>
    <w:semiHidden/>
    <w:rsid w:val="00D575A2"/>
    <w:rPr>
      <w:rFonts w:cstheme="majorBidi"/>
      <w:color w:val="595959" w:themeColor="text1" w:themeTint="A6"/>
    </w:rPr>
  </w:style>
  <w:style w:type="character" w:customStyle="1" w:styleId="90">
    <w:name w:val="标题 9 字符"/>
    <w:basedOn w:val="a0"/>
    <w:link w:val="9"/>
    <w:uiPriority w:val="9"/>
    <w:semiHidden/>
    <w:rsid w:val="00D575A2"/>
    <w:rPr>
      <w:rFonts w:eastAsiaTheme="majorEastAsia" w:cstheme="majorBidi"/>
      <w:color w:val="595959" w:themeColor="text1" w:themeTint="A6"/>
    </w:rPr>
  </w:style>
  <w:style w:type="paragraph" w:styleId="a3">
    <w:name w:val="Title"/>
    <w:basedOn w:val="a"/>
    <w:next w:val="a"/>
    <w:link w:val="a4"/>
    <w:uiPriority w:val="10"/>
    <w:qFormat/>
    <w:rsid w:val="00D575A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575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575A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575A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575A2"/>
    <w:pPr>
      <w:spacing w:before="160"/>
      <w:jc w:val="center"/>
    </w:pPr>
    <w:rPr>
      <w:i/>
      <w:iCs/>
      <w:color w:val="404040" w:themeColor="text1" w:themeTint="BF"/>
    </w:rPr>
  </w:style>
  <w:style w:type="character" w:customStyle="1" w:styleId="a8">
    <w:name w:val="引用 字符"/>
    <w:basedOn w:val="a0"/>
    <w:link w:val="a7"/>
    <w:uiPriority w:val="29"/>
    <w:rsid w:val="00D575A2"/>
    <w:rPr>
      <w:i/>
      <w:iCs/>
      <w:color w:val="404040" w:themeColor="text1" w:themeTint="BF"/>
    </w:rPr>
  </w:style>
  <w:style w:type="paragraph" w:styleId="a9">
    <w:name w:val="List Paragraph"/>
    <w:basedOn w:val="a"/>
    <w:uiPriority w:val="34"/>
    <w:qFormat/>
    <w:rsid w:val="00D575A2"/>
    <w:pPr>
      <w:ind w:left="720"/>
      <w:contextualSpacing/>
    </w:pPr>
  </w:style>
  <w:style w:type="character" w:styleId="aa">
    <w:name w:val="Intense Emphasis"/>
    <w:basedOn w:val="a0"/>
    <w:uiPriority w:val="21"/>
    <w:qFormat/>
    <w:rsid w:val="00D575A2"/>
    <w:rPr>
      <w:i/>
      <w:iCs/>
      <w:color w:val="2F5496" w:themeColor="accent1" w:themeShade="BF"/>
    </w:rPr>
  </w:style>
  <w:style w:type="paragraph" w:styleId="ab">
    <w:name w:val="Intense Quote"/>
    <w:basedOn w:val="a"/>
    <w:next w:val="a"/>
    <w:link w:val="ac"/>
    <w:uiPriority w:val="30"/>
    <w:qFormat/>
    <w:rsid w:val="00D575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575A2"/>
    <w:rPr>
      <w:i/>
      <w:iCs/>
      <w:color w:val="2F5496" w:themeColor="accent1" w:themeShade="BF"/>
    </w:rPr>
  </w:style>
  <w:style w:type="character" w:styleId="ad">
    <w:name w:val="Intense Reference"/>
    <w:basedOn w:val="a0"/>
    <w:uiPriority w:val="32"/>
    <w:qFormat/>
    <w:rsid w:val="00D575A2"/>
    <w:rPr>
      <w:b/>
      <w:bCs/>
      <w:smallCaps/>
      <w:color w:val="2F5496" w:themeColor="accent1" w:themeShade="BF"/>
      <w:spacing w:val="5"/>
    </w:rPr>
  </w:style>
  <w:style w:type="paragraph" w:styleId="ae">
    <w:name w:val="header"/>
    <w:basedOn w:val="a"/>
    <w:link w:val="af"/>
    <w:uiPriority w:val="99"/>
    <w:unhideWhenUsed/>
    <w:rsid w:val="00C875F5"/>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C875F5"/>
    <w:rPr>
      <w:sz w:val="18"/>
      <w:szCs w:val="18"/>
    </w:rPr>
  </w:style>
  <w:style w:type="paragraph" w:styleId="af0">
    <w:name w:val="footer"/>
    <w:basedOn w:val="a"/>
    <w:link w:val="af1"/>
    <w:uiPriority w:val="99"/>
    <w:unhideWhenUsed/>
    <w:rsid w:val="00C875F5"/>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C875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3936</Characters>
  <Application>Microsoft Office Word</Application>
  <DocSecurity>0</DocSecurity>
  <Lines>32</Lines>
  <Paragraphs>9</Paragraphs>
  <ScaleCrop>false</ScaleCrop>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2026-04-03T06:34:00Z</dcterms:created>
  <dcterms:modified xsi:type="dcterms:W3CDTF">2026-04-03T06:34:00Z</dcterms:modified>
</cp:coreProperties>
</file>